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49F1" w14:textId="0DF7A4BA" w:rsidR="009A2F3D" w:rsidRPr="002F7018" w:rsidRDefault="002F7018" w:rsidP="002F7018">
      <w:pPr>
        <w:pStyle w:val="Heading1"/>
        <w:spacing w:line="240" w:lineRule="auto"/>
        <w:contextualSpacing/>
        <w:jc w:val="center"/>
        <w:rPr>
          <w:rFonts w:ascii="Calibri" w:hAnsi="Calibri" w:cs="Calibri"/>
          <w:color w:val="000000" w:themeColor="text1"/>
        </w:rPr>
      </w:pPr>
      <w:r w:rsidRPr="002F7018">
        <w:rPr>
          <w:rFonts w:ascii="Calibri" w:hAnsi="Calibri" w:cs="Calibri"/>
          <w:color w:val="000000" w:themeColor="text1"/>
        </w:rPr>
        <w:t xml:space="preserve">AmeriCorps </w:t>
      </w:r>
      <w:r w:rsidR="004059EA" w:rsidRPr="002F7018">
        <w:rPr>
          <w:rFonts w:ascii="Calibri" w:hAnsi="Calibri" w:cs="Calibri"/>
          <w:color w:val="000000" w:themeColor="text1"/>
        </w:rPr>
        <w:t xml:space="preserve">VISTA </w:t>
      </w:r>
      <w:r w:rsidR="000F6F7B" w:rsidRPr="002F7018">
        <w:rPr>
          <w:rFonts w:ascii="Calibri" w:hAnsi="Calibri" w:cs="Calibri"/>
          <w:color w:val="000000" w:themeColor="text1"/>
        </w:rPr>
        <w:t xml:space="preserve">Public </w:t>
      </w:r>
      <w:r w:rsidR="00B12E0B" w:rsidRPr="002F7018">
        <w:rPr>
          <w:rFonts w:ascii="Calibri" w:hAnsi="Calibri" w:cs="Calibri"/>
          <w:color w:val="000000" w:themeColor="text1"/>
        </w:rPr>
        <w:t xml:space="preserve">&amp; </w:t>
      </w:r>
      <w:r w:rsidR="000F6F7B" w:rsidRPr="002F7018">
        <w:rPr>
          <w:rFonts w:ascii="Calibri" w:hAnsi="Calibri" w:cs="Calibri"/>
          <w:color w:val="000000" w:themeColor="text1"/>
        </w:rPr>
        <w:t>School Partnership</w:t>
      </w:r>
    </w:p>
    <w:p w14:paraId="763FDFF0" w14:textId="3FA952FC" w:rsidR="002F7018" w:rsidRPr="00CA3261" w:rsidRDefault="00925921" w:rsidP="00CA3261">
      <w:pPr>
        <w:pStyle w:val="Heading1"/>
        <w:spacing w:line="240" w:lineRule="auto"/>
        <w:contextualSpacing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Partner</w:t>
      </w:r>
      <w:bookmarkStart w:id="0" w:name="_GoBack"/>
      <w:bookmarkEnd w:id="0"/>
      <w:r w:rsidR="00D80184">
        <w:rPr>
          <w:rFonts w:ascii="Calibri" w:hAnsi="Calibri" w:cs="Calibri"/>
          <w:color w:val="000000" w:themeColor="text1"/>
        </w:rPr>
        <w:t xml:space="preserve"> </w:t>
      </w:r>
      <w:r w:rsidR="00325E8B" w:rsidRPr="002F7018">
        <w:rPr>
          <w:rFonts w:ascii="Calibri" w:hAnsi="Calibri" w:cs="Calibri"/>
          <w:color w:val="000000" w:themeColor="text1"/>
        </w:rPr>
        <w:t>Information Sheet</w:t>
      </w:r>
    </w:p>
    <w:p w14:paraId="07A7036C" w14:textId="1C99416B" w:rsidR="00581239" w:rsidRDefault="00CA3261" w:rsidP="00CA3261">
      <w:pPr>
        <w:pStyle w:val="Heading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47CFFBE9" wp14:editId="0F78AE21">
            <wp:extent cx="1701800" cy="1279845"/>
            <wp:effectExtent l="0" t="0" r="0" b="3175"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Atriad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6565" cy="12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F5DC" w14:textId="788188E7" w:rsidR="0059285F" w:rsidRPr="002F7018" w:rsidRDefault="0059285F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The Public 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&amp;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School Part</w:t>
      </w:r>
      <w:r w:rsidR="002F7018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nership (PSP) is an AmeriCorps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VISTA grant program hosted at Utah State University. Through this grant</w:t>
      </w:r>
      <w:r w:rsidR="005F00CA" w:rsidRPr="002F7018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PSP recruits and places national service volunteers</w:t>
      </w:r>
      <w:r w:rsidR="00D11EFF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(VISTAs)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11EFF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to work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within partnering organizations to focus on improving and expanding educational systems. 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>PSP manages t</w:t>
      </w:r>
      <w:r w:rsidR="00CA3261">
        <w:rPr>
          <w:rFonts w:ascii="Calibri" w:hAnsi="Calibri" w:cs="Calibri"/>
          <w:color w:val="000000" w:themeColor="text1"/>
          <w:sz w:val="24"/>
          <w:szCs w:val="24"/>
        </w:rPr>
        <w:t xml:space="preserve">he grant, reporting, and </w:t>
      </w:r>
      <w:r w:rsidR="008E338D" w:rsidRPr="002F7018">
        <w:rPr>
          <w:rFonts w:ascii="Calibri" w:hAnsi="Calibri" w:cs="Calibri"/>
          <w:color w:val="000000" w:themeColor="text1"/>
          <w:sz w:val="24"/>
          <w:szCs w:val="24"/>
        </w:rPr>
        <w:t>hiring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E338D" w:rsidRPr="002F7018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based on </w:t>
      </w:r>
      <w:r w:rsidR="008E338D" w:rsidRPr="002F7018">
        <w:rPr>
          <w:rFonts w:ascii="Calibri" w:hAnsi="Calibri" w:cs="Calibri"/>
          <w:color w:val="000000" w:themeColor="text1"/>
          <w:sz w:val="24"/>
          <w:szCs w:val="24"/>
        </w:rPr>
        <w:t>partner organization recommendation)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0DA48D2" w14:textId="11286A3F" w:rsidR="002F7018" w:rsidRPr="002F7018" w:rsidRDefault="0059285F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The focus of the project is to 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help eradicate poverty in our communities through the promotion of educational initiatives.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While the project is designed to improve 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circumstances for all of Utah's students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and families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, specific grant activities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strive to provide support for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economically disa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>dvantaged students and those at-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risk for social and academic failure.</w:t>
      </w:r>
    </w:p>
    <w:p w14:paraId="5680B113" w14:textId="77777777" w:rsidR="002F7018" w:rsidRDefault="002F7018" w:rsidP="002F7018">
      <w:pPr>
        <w:pStyle w:val="Heading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4F22A8F" w14:textId="77777777" w:rsidR="009A2F3D" w:rsidRPr="002F7018" w:rsidRDefault="009A2F3D" w:rsidP="002F7018">
      <w:pPr>
        <w:pStyle w:val="Heading2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b/>
          <w:color w:val="000000" w:themeColor="text1"/>
          <w:sz w:val="24"/>
          <w:szCs w:val="24"/>
        </w:rPr>
        <w:t>How does the program work?</w:t>
      </w:r>
    </w:p>
    <w:p w14:paraId="495777BB" w14:textId="5185B170" w:rsidR="009A2F3D" w:rsidRPr="002F7018" w:rsidRDefault="003E7B6B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A potential site can submit an applica</w:t>
      </w:r>
      <w:r w:rsidR="004558BC" w:rsidRPr="002F7018">
        <w:rPr>
          <w:rFonts w:ascii="Calibri" w:hAnsi="Calibri" w:cs="Calibri"/>
          <w:color w:val="000000" w:themeColor="text1"/>
          <w:sz w:val="24"/>
          <w:szCs w:val="24"/>
        </w:rPr>
        <w:t>tion to host one or more VISTA M</w:t>
      </w:r>
      <w:r w:rsidR="00581239">
        <w:rPr>
          <w:rFonts w:ascii="Calibri" w:hAnsi="Calibri" w:cs="Calibri"/>
          <w:color w:val="000000" w:themeColor="text1"/>
          <w:sz w:val="24"/>
          <w:szCs w:val="24"/>
        </w:rPr>
        <w:t xml:space="preserve">embers; however, requests are not guaranteed. 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Upon approval of the application, the site and PSP will work together to recruit a qualified VISTA member.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The VISTA M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ember reports </w:t>
      </w:r>
      <w:r w:rsidR="00CA3261">
        <w:rPr>
          <w:rFonts w:ascii="Calibri" w:hAnsi="Calibri" w:cs="Calibri"/>
          <w:color w:val="000000" w:themeColor="text1"/>
          <w:sz w:val="24"/>
          <w:szCs w:val="24"/>
        </w:rPr>
        <w:t xml:space="preserve">directly 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to the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project site (school or community organization)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as a full-time</w:t>
      </w:r>
      <w:r w:rsidR="00CA3261">
        <w:rPr>
          <w:rFonts w:ascii="Calibri" w:hAnsi="Calibri" w:cs="Calibri"/>
          <w:color w:val="000000" w:themeColor="text1"/>
          <w:sz w:val="24"/>
          <w:szCs w:val="24"/>
        </w:rPr>
        <w:t xml:space="preserve"> (40 hours/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week) 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volunteer for the contracted duration of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one year. Renewal of the VISTA M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>ember</w:t>
      </w:r>
      <w:r w:rsidR="005F00CA" w:rsidRPr="002F7018">
        <w:rPr>
          <w:rFonts w:ascii="Calibri" w:hAnsi="Calibri" w:cs="Calibri"/>
          <w:color w:val="000000" w:themeColor="text1"/>
          <w:sz w:val="24"/>
          <w:szCs w:val="24"/>
        </w:rPr>
        <w:t>’s contract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and/or the site’s VISTA slot is assessed each year and 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is based on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availability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within the grant and the discretion of </w:t>
      </w:r>
      <w:r w:rsidR="000F6F7B" w:rsidRPr="002F7018">
        <w:rPr>
          <w:rFonts w:ascii="Calibri" w:hAnsi="Calibri" w:cs="Calibri"/>
          <w:color w:val="000000" w:themeColor="text1"/>
          <w:sz w:val="24"/>
          <w:szCs w:val="24"/>
        </w:rPr>
        <w:t>PSP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and the 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project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site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01FFE8C" w14:textId="25AC7C82" w:rsidR="00CC3FF2" w:rsidRPr="002F7018" w:rsidRDefault="004558BC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The VISTA M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ember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work scope is centered around 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>build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ing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capacity and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creating 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>sustainable programs within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educational partnerships. VISTA M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ember activities should be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B0610" w:rsidRPr="002F7018">
        <w:rPr>
          <w:rFonts w:ascii="Calibri" w:hAnsi="Calibri" w:cs="Calibri"/>
          <w:color w:val="000000" w:themeColor="text1"/>
          <w:sz w:val="24"/>
          <w:szCs w:val="24"/>
        </w:rPr>
        <w:t>based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on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increasing 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>literacy, community connectedness, parent suppo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rt, high school completion, college and career readiness, or other appropriate educational initiatives.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The VISTA M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ember will address various needs of the 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project site </w:t>
      </w:r>
      <w:r w:rsidR="00CB0610" w:rsidRPr="002F7018">
        <w:rPr>
          <w:rFonts w:ascii="Calibri" w:hAnsi="Calibri" w:cs="Calibri"/>
          <w:color w:val="000000" w:themeColor="text1"/>
          <w:sz w:val="24"/>
          <w:szCs w:val="24"/>
        </w:rPr>
        <w:t>through specific focus areas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. Some of the s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pecific 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>areas of focus for VISTA projects include:</w:t>
      </w:r>
    </w:p>
    <w:p w14:paraId="0B8FC00C" w14:textId="32EDFAAE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Developing and implementing training materials for staff and volunteers</w:t>
      </w:r>
    </w:p>
    <w:p w14:paraId="666C2AD1" w14:textId="6EB6C019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Student screening and identification for needed services</w:t>
      </w:r>
    </w:p>
    <w:p w14:paraId="52DB1CAD" w14:textId="3AE7EB58" w:rsidR="00D11EFF" w:rsidRPr="002F7018" w:rsidRDefault="00D11EFF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Implementation of programs and services to benefit at-risk students and families</w:t>
      </w:r>
    </w:p>
    <w:p w14:paraId="08A77339" w14:textId="1AFC0F13" w:rsidR="00D11EFF" w:rsidRPr="002F7018" w:rsidRDefault="00D11EFF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Management of data systems and data presentation for decision making</w:t>
      </w:r>
    </w:p>
    <w:p w14:paraId="5FA82DCF" w14:textId="73F46595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Resource generation and capacity-building activities</w:t>
      </w:r>
    </w:p>
    <w:p w14:paraId="1E4CDDE4" w14:textId="01E9F18E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Volunteer recruitment, training, and management</w:t>
      </w:r>
    </w:p>
    <w:p w14:paraId="13191662" w14:textId="397E6D93" w:rsidR="003E7B6B" w:rsidRPr="00CA3261" w:rsidRDefault="003E7B6B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Promotion of college and career readiness programs and activities</w:t>
      </w:r>
    </w:p>
    <w:p w14:paraId="0E6DA985" w14:textId="5A9479C1" w:rsidR="00633ABD" w:rsidRDefault="00B12E0B" w:rsidP="002F7018">
      <w:pPr>
        <w:pStyle w:val="Heading2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581239">
        <w:rPr>
          <w:rFonts w:ascii="Calibri" w:hAnsi="Calibri" w:cs="Calibri"/>
          <w:i/>
          <w:color w:val="000000" w:themeColor="text1"/>
          <w:sz w:val="20"/>
          <w:szCs w:val="20"/>
        </w:rPr>
        <w:t>*</w:t>
      </w:r>
      <w:r w:rsidR="002F7018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4558BC" w:rsidRPr="00581239">
        <w:rPr>
          <w:rFonts w:ascii="Calibri" w:hAnsi="Calibri" w:cs="Calibri"/>
          <w:i/>
          <w:color w:val="000000" w:themeColor="text1"/>
          <w:sz w:val="20"/>
          <w:szCs w:val="20"/>
        </w:rPr>
        <w:t>VISTA M</w:t>
      </w:r>
      <w:r w:rsidR="00C41D0F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embers are absolutely prohibited from </w:t>
      </w:r>
      <w:r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proselyting or </w:t>
      </w:r>
      <w:r w:rsidR="00C41D0F" w:rsidRPr="00581239">
        <w:rPr>
          <w:rFonts w:ascii="Calibri" w:hAnsi="Calibri" w:cs="Calibri"/>
          <w:i/>
          <w:color w:val="000000" w:themeColor="text1"/>
          <w:sz w:val="20"/>
          <w:szCs w:val="20"/>
        </w:rPr>
        <w:t>participating in any activity designed to influence the outcome of an election.</w:t>
      </w:r>
      <w:r w:rsidR="004558BC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 VISTA M</w:t>
      </w:r>
      <w:r w:rsidR="00C21F06" w:rsidRPr="00581239">
        <w:rPr>
          <w:rFonts w:ascii="Calibri" w:hAnsi="Calibri" w:cs="Calibri"/>
          <w:i/>
          <w:color w:val="000000" w:themeColor="text1"/>
          <w:sz w:val="20"/>
          <w:szCs w:val="20"/>
        </w:rPr>
        <w:t>embers also may not participate in any political activity while identifying themselves or their</w:t>
      </w:r>
      <w:r w:rsidR="002F7018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 program with AmeriCorps VISTA </w:t>
      </w:r>
      <w:r w:rsidR="00C21F06" w:rsidRPr="00581239">
        <w:rPr>
          <w:rFonts w:ascii="Calibri" w:hAnsi="Calibri" w:cs="Calibri"/>
          <w:i/>
          <w:color w:val="000000" w:themeColor="text1"/>
          <w:sz w:val="20"/>
          <w:szCs w:val="20"/>
        </w:rPr>
        <w:t>or to participate in activity designed to influence passage or defeat of legislation. (See the Hatch Act for more information.)</w:t>
      </w:r>
    </w:p>
    <w:p w14:paraId="7A2E56B5" w14:textId="77777777" w:rsidR="00D60321" w:rsidRDefault="00D60321" w:rsidP="002F7018">
      <w:pPr>
        <w:pStyle w:val="Heading2"/>
        <w:rPr>
          <w:rFonts w:ascii="Calibri" w:hAnsi="Calibri"/>
          <w:b/>
          <w:color w:val="000000" w:themeColor="text1"/>
          <w:sz w:val="24"/>
          <w:szCs w:val="24"/>
        </w:rPr>
      </w:pPr>
      <w:r w:rsidRPr="002F7018">
        <w:rPr>
          <w:rFonts w:ascii="Calibri" w:hAnsi="Calibri"/>
          <w:b/>
          <w:color w:val="000000" w:themeColor="text1"/>
          <w:sz w:val="24"/>
          <w:szCs w:val="24"/>
        </w:rPr>
        <w:lastRenderedPageBreak/>
        <w:t>What is required of participating partners and what support will we receive?</w:t>
      </w:r>
    </w:p>
    <w:p w14:paraId="23C567D8" w14:textId="77777777" w:rsidR="002F7018" w:rsidRPr="002F7018" w:rsidRDefault="002F7018" w:rsidP="002F7018"/>
    <w:tbl>
      <w:tblPr>
        <w:tblStyle w:val="GridTable5Dark-Accent6"/>
        <w:tblW w:w="10368" w:type="dxa"/>
        <w:shd w:val="clear" w:color="auto" w:fill="D9D9D9" w:themeFill="background1" w:themeFillShade="D9"/>
        <w:tblLayout w:type="fixed"/>
        <w:tblLook w:val="06A0" w:firstRow="1" w:lastRow="0" w:firstColumn="1" w:lastColumn="0" w:noHBand="1" w:noVBand="1"/>
      </w:tblPr>
      <w:tblGrid>
        <w:gridCol w:w="468"/>
        <w:gridCol w:w="2250"/>
        <w:gridCol w:w="2520"/>
        <w:gridCol w:w="2520"/>
        <w:gridCol w:w="2610"/>
      </w:tblGrid>
      <w:tr w:rsidR="002F7018" w:rsidRPr="002F7018" w14:paraId="72B8CB70" w14:textId="77777777" w:rsidTr="00CA3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9D9D9" w:themeFill="background1" w:themeFillShade="D9"/>
          </w:tcPr>
          <w:p w14:paraId="5EC15E8E" w14:textId="77777777" w:rsidR="00D60321" w:rsidRPr="002F7018" w:rsidRDefault="00D60321" w:rsidP="002F7018">
            <w:pPr>
              <w:pStyle w:val="Heading2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C15B3FB" w14:textId="77777777" w:rsidR="00D60321" w:rsidRPr="00581239" w:rsidRDefault="00D60321" w:rsidP="002F701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AmeriCorps</w:t>
            </w:r>
            <w:r w:rsidR="007616D1"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(CNCS)</w:t>
            </w:r>
          </w:p>
          <w:p w14:paraId="3B5550B7" w14:textId="17A69421" w:rsidR="006C3D06" w:rsidRPr="00581239" w:rsidRDefault="006C3D06" w:rsidP="002F701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Federal Funding Agency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C3BB4D5" w14:textId="77777777" w:rsidR="00D60321" w:rsidRPr="00581239" w:rsidRDefault="000F6F7B" w:rsidP="002F701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Public </w:t>
            </w:r>
            <w:r w:rsidR="006C3D06"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&amp; </w:t>
            </w: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School Partnership</w:t>
            </w:r>
            <w:r w:rsidR="006C3D06"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at</w:t>
            </w:r>
          </w:p>
          <w:p w14:paraId="5306623B" w14:textId="159E1198" w:rsidR="006C3D06" w:rsidRPr="00581239" w:rsidRDefault="006C3D06" w:rsidP="002F701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Utah State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F364E6" w14:textId="19DB46E6" w:rsidR="00D60321" w:rsidRPr="00581239" w:rsidRDefault="006C3D06" w:rsidP="002F701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Project Site (School or Community Organization)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72A1E0" w14:textId="77777777" w:rsidR="00D60321" w:rsidRPr="00581239" w:rsidRDefault="00D60321" w:rsidP="002F7018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VISTA Member</w:t>
            </w:r>
          </w:p>
        </w:tc>
      </w:tr>
      <w:tr w:rsidR="002F7018" w:rsidRPr="002F7018" w14:paraId="0DBAADBE" w14:textId="77777777" w:rsidTr="00CA32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9D9D9" w:themeFill="background1" w:themeFillShade="D9"/>
            <w:textDirection w:val="btLr"/>
          </w:tcPr>
          <w:p w14:paraId="36618950" w14:textId="69950999" w:rsidR="00D60321" w:rsidRPr="00581239" w:rsidRDefault="00D60321" w:rsidP="002F7018">
            <w:pPr>
              <w:pStyle w:val="Heading2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Provides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6DDA531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0172E8F" w14:textId="14B17935" w:rsidR="00B979B9" w:rsidRPr="002F7018" w:rsidRDefault="005F00CA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Medical c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overage </w:t>
            </w:r>
            <w:r w:rsidR="00282E7D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options 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for members</w:t>
            </w:r>
          </w:p>
          <w:p w14:paraId="16A99842" w14:textId="6E3C6848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Life Insurance plan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options</w:t>
            </w:r>
          </w:p>
          <w:p w14:paraId="0342D90C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Childcare benefit</w:t>
            </w:r>
          </w:p>
          <w:p w14:paraId="368D5642" w14:textId="5423BC2B" w:rsidR="00B979B9" w:rsidRPr="002F7018" w:rsidRDefault="00CB0610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End of </w:t>
            </w:r>
            <w:r w:rsidR="00633ABD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ervice Award: </w:t>
            </w:r>
            <w:r w:rsidR="002E7FD3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Education Award 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OR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cash stipend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73304F5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B5219D3" w14:textId="3A38666C" w:rsidR="00D60321" w:rsidRPr="002F7018" w:rsidRDefault="005F00CA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VISTA m</w:t>
            </w:r>
            <w:r w:rsidR="00C84FD8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ember living allowance and benefits</w:t>
            </w:r>
          </w:p>
          <w:p w14:paraId="07B57FEF" w14:textId="52B52FD5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Administrative 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support services</w:t>
            </w:r>
          </w:p>
          <w:p w14:paraId="58F9A3DA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Progress and financial reporting to CNCS</w:t>
            </w:r>
          </w:p>
          <w:p w14:paraId="7C0FCC97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Training for VISTA members</w:t>
            </w:r>
          </w:p>
          <w:p w14:paraId="0528BA5D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Payroll and grant management services</w:t>
            </w:r>
          </w:p>
          <w:p w14:paraId="06823EDB" w14:textId="630A7F58" w:rsidR="00343536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Human resources support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DB20C75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4294C77C" w14:textId="0F7E5E1F" w:rsidR="00D60321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$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6,700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cost share</w:t>
            </w:r>
          </w:p>
          <w:p w14:paraId="60B5B7DC" w14:textId="6B273590" w:rsidR="00B979B9" w:rsidRPr="002F7018" w:rsidRDefault="00C84FD8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Professional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work environment</w:t>
            </w:r>
          </w:p>
          <w:p w14:paraId="365B6EA1" w14:textId="66ACCCF0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Daily management </w:t>
            </w:r>
          </w:p>
          <w:p w14:paraId="6CAFEC0E" w14:textId="4513CD89" w:rsidR="00B979B9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O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rientation &amp; training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as needed</w:t>
            </w:r>
          </w:p>
          <w:p w14:paraId="33FFBF8F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Program data for reporting</w:t>
            </w:r>
          </w:p>
          <w:p w14:paraId="4EC894DD" w14:textId="1D6E4FF4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Allowances for VISTA 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leave</w:t>
            </w:r>
          </w:p>
          <w:p w14:paraId="0E3F0DD9" w14:textId="77777777" w:rsidR="00D11EFF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Program feedback and VISTA evaluations</w:t>
            </w:r>
          </w:p>
          <w:p w14:paraId="3A12E220" w14:textId="77777777" w:rsidR="0053208F" w:rsidRPr="002F7018" w:rsidRDefault="0053208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Branding as appropriate</w:t>
            </w:r>
          </w:p>
          <w:p w14:paraId="7564AF22" w14:textId="0179A6D1" w:rsidR="00E2210A" w:rsidRPr="002F7018" w:rsidRDefault="00E2210A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Signing and abiding by the project MOA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9F918E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BFDFA1D" w14:textId="7D523808" w:rsidR="00C41D0F" w:rsidRPr="002F7018" w:rsidRDefault="00C41D0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One-year commitment</w:t>
            </w:r>
          </w:p>
          <w:p w14:paraId="2E9FC523" w14:textId="72594AD2" w:rsidR="00D60321" w:rsidRPr="002F7018" w:rsidRDefault="00CB0610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40</w:t>
            </w:r>
            <w:r w:rsidR="00343536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hours per week</w:t>
            </w:r>
          </w:p>
          <w:p w14:paraId="26EBCF04" w14:textId="6C7AB9DD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Mandatory attendance at 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PSO and 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PSP trainings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and events</w:t>
            </w:r>
          </w:p>
          <w:p w14:paraId="3F719296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Program impact data for reporting</w:t>
            </w:r>
          </w:p>
          <w:p w14:paraId="03115EEF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Participation in national days of service and other service projects</w:t>
            </w:r>
          </w:p>
          <w:p w14:paraId="3B394613" w14:textId="1F422B3C" w:rsidR="00C41D0F" w:rsidRPr="002F7018" w:rsidRDefault="00C41D0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Completion of monthly reporting</w:t>
            </w:r>
          </w:p>
          <w:p w14:paraId="4C73B384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581239" w:rsidRPr="002F7018" w14:paraId="1E618F18" w14:textId="77777777" w:rsidTr="00CA32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9D9D9" w:themeFill="background1" w:themeFillShade="D9"/>
            <w:textDirection w:val="btLr"/>
          </w:tcPr>
          <w:p w14:paraId="4DA813E3" w14:textId="49710666" w:rsidR="00D60321" w:rsidRPr="00581239" w:rsidRDefault="00B979B9" w:rsidP="002F7018">
            <w:pPr>
              <w:pStyle w:val="Heading2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Receives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40FB857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A1FC962" w14:textId="5ED2B191" w:rsidR="00D60321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Full time 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national service 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volunteer</w:t>
            </w:r>
            <w:r w:rsidR="00C544DC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</w:t>
            </w:r>
          </w:p>
          <w:p w14:paraId="3627C53E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Improved services for Utah Students</w:t>
            </w:r>
          </w:p>
          <w:p w14:paraId="207D7E09" w14:textId="2EC6AE19" w:rsidR="00D11EFF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Reporting data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958D30C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4C43B7F" w14:textId="172B3987" w:rsidR="00D11EFF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Continued grant funding for VISTA program</w:t>
            </w:r>
          </w:p>
          <w:p w14:paraId="2FA53A8B" w14:textId="77777777" w:rsidR="00D60321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Lasting partnerships</w:t>
            </w:r>
          </w:p>
          <w:p w14:paraId="70C3AF66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Collaborative environments to develop and refine best practices</w:t>
            </w:r>
          </w:p>
          <w:p w14:paraId="1E2CD225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Recognition and support from administrative partners</w:t>
            </w:r>
          </w:p>
          <w:p w14:paraId="3886931C" w14:textId="77777777" w:rsidR="00B979B9" w:rsidRPr="002F7018" w:rsidRDefault="00B979B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Joint authorship (on collaborative efforts as appropriate)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DC65F75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5E48CD84" w14:textId="77777777" w:rsidR="00D60321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Full time VISTA member on site</w:t>
            </w:r>
          </w:p>
          <w:p w14:paraId="2A011BC5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Access to </w:t>
            </w:r>
            <w:r w:rsidR="00BC1E8A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PSP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resources (staff, library, research, training materials, etc.)</w:t>
            </w:r>
          </w:p>
          <w:p w14:paraId="04AD761B" w14:textId="716596D6" w:rsidR="00D11EFF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Increased resources and grant activities</w:t>
            </w:r>
          </w:p>
          <w:p w14:paraId="7A0E3B62" w14:textId="0F091105" w:rsidR="00D11EFF" w:rsidRPr="002F7018" w:rsidRDefault="00D11EFF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Improved services for at-risk students</w:t>
            </w:r>
          </w:p>
          <w:p w14:paraId="07930DBE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Access to research opportunities and validated best practices</w:t>
            </w:r>
          </w:p>
          <w:p w14:paraId="2F82D5D7" w14:textId="0442B9DD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9526C33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7A0DCB39" w14:textId="667CEFCD" w:rsidR="00D60321" w:rsidRPr="002F7018" w:rsidRDefault="00581239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Monthly living allowance of $1026</w:t>
            </w:r>
            <w:r w:rsidR="002E7FD3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E3A3CB8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Medical and pharmacy benefits</w:t>
            </w:r>
          </w:p>
          <w:p w14:paraId="1B385828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Child care and life insurance option</w:t>
            </w:r>
          </w:p>
          <w:p w14:paraId="5B9AAD01" w14:textId="77777777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Paid training</w:t>
            </w:r>
          </w:p>
          <w:p w14:paraId="57EBDB39" w14:textId="3DE43D28" w:rsidR="00343536" w:rsidRPr="002F7018" w:rsidRDefault="00343536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Segal Education Award</w:t>
            </w:r>
            <w:r w:rsidR="000F6F7B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($5,</w:t>
            </w:r>
            <w:r w:rsidR="00581239">
              <w:rPr>
                <w:rFonts w:ascii="Calibri" w:hAnsi="Calibri"/>
                <w:color w:val="000000" w:themeColor="text1"/>
                <w:sz w:val="24"/>
                <w:szCs w:val="24"/>
              </w:rPr>
              <w:t>920</w:t>
            </w:r>
            <w:r w:rsidR="000F6F7B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OR Cash stipend</w:t>
            </w:r>
            <w:r w:rsid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($1,8</w:t>
            </w:r>
            <w:r w:rsidR="000F6F7B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00)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upon completion of service</w:t>
            </w:r>
          </w:p>
          <w:p w14:paraId="0E460E13" w14:textId="67775369" w:rsidR="00343536" w:rsidRPr="002F7018" w:rsidRDefault="002E7FD3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10 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personal and 10 medical leave days.</w:t>
            </w:r>
          </w:p>
          <w:p w14:paraId="3096A5C0" w14:textId="77777777" w:rsidR="00E2623D" w:rsidRPr="002F7018" w:rsidRDefault="00E2623D" w:rsidP="002F7018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6E57489E" w14:textId="734A889D" w:rsidR="00E2623D" w:rsidRPr="002F7018" w:rsidRDefault="00E2623D" w:rsidP="002F7018">
      <w:pPr>
        <w:pStyle w:val="Heading2"/>
        <w:rPr>
          <w:rFonts w:ascii="Calibri" w:hAnsi="Calibri"/>
          <w:color w:val="000000" w:themeColor="text1"/>
          <w:sz w:val="24"/>
          <w:szCs w:val="24"/>
        </w:rPr>
      </w:pPr>
    </w:p>
    <w:sectPr w:rsidR="00E2623D" w:rsidRPr="002F7018" w:rsidSect="00CA3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A673" w14:textId="77777777" w:rsidR="007628D2" w:rsidRDefault="007628D2" w:rsidP="00633ABD">
      <w:pPr>
        <w:spacing w:after="0" w:line="240" w:lineRule="auto"/>
      </w:pPr>
      <w:r>
        <w:separator/>
      </w:r>
    </w:p>
  </w:endnote>
  <w:endnote w:type="continuationSeparator" w:id="0">
    <w:p w14:paraId="3EFF0521" w14:textId="77777777" w:rsidR="007628D2" w:rsidRDefault="007628D2" w:rsidP="0063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97DC" w14:textId="77777777" w:rsidR="007628D2" w:rsidRDefault="007628D2" w:rsidP="00633ABD">
      <w:pPr>
        <w:spacing w:after="0" w:line="240" w:lineRule="auto"/>
      </w:pPr>
      <w:r>
        <w:separator/>
      </w:r>
    </w:p>
  </w:footnote>
  <w:footnote w:type="continuationSeparator" w:id="0">
    <w:p w14:paraId="22F7A493" w14:textId="77777777" w:rsidR="007628D2" w:rsidRDefault="007628D2" w:rsidP="0063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53"/>
    <w:multiLevelType w:val="hybridMultilevel"/>
    <w:tmpl w:val="BFC0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637"/>
    <w:multiLevelType w:val="hybridMultilevel"/>
    <w:tmpl w:val="F8789952"/>
    <w:lvl w:ilvl="0" w:tplc="1FFEB8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6A5"/>
    <w:multiLevelType w:val="hybridMultilevel"/>
    <w:tmpl w:val="30FC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31A"/>
    <w:multiLevelType w:val="hybridMultilevel"/>
    <w:tmpl w:val="F8F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AE0"/>
    <w:multiLevelType w:val="hybridMultilevel"/>
    <w:tmpl w:val="A67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812"/>
    <w:multiLevelType w:val="hybridMultilevel"/>
    <w:tmpl w:val="0A9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3D"/>
    <w:rsid w:val="000317A2"/>
    <w:rsid w:val="000B6123"/>
    <w:rsid w:val="000F42ED"/>
    <w:rsid w:val="000F6F7B"/>
    <w:rsid w:val="00184B3E"/>
    <w:rsid w:val="001A1297"/>
    <w:rsid w:val="00226D5B"/>
    <w:rsid w:val="00282E7D"/>
    <w:rsid w:val="00290908"/>
    <w:rsid w:val="002D3395"/>
    <w:rsid w:val="002E7FD3"/>
    <w:rsid w:val="002F7018"/>
    <w:rsid w:val="00305C58"/>
    <w:rsid w:val="00325E8B"/>
    <w:rsid w:val="00343536"/>
    <w:rsid w:val="003438D7"/>
    <w:rsid w:val="003E7B6B"/>
    <w:rsid w:val="004059EA"/>
    <w:rsid w:val="004517E7"/>
    <w:rsid w:val="004558BC"/>
    <w:rsid w:val="004759DB"/>
    <w:rsid w:val="0048186E"/>
    <w:rsid w:val="0053208F"/>
    <w:rsid w:val="00581239"/>
    <w:rsid w:val="0059285F"/>
    <w:rsid w:val="005F00CA"/>
    <w:rsid w:val="00633ABD"/>
    <w:rsid w:val="006439E5"/>
    <w:rsid w:val="006C3D06"/>
    <w:rsid w:val="007616D1"/>
    <w:rsid w:val="007628D2"/>
    <w:rsid w:val="0076363D"/>
    <w:rsid w:val="008313B2"/>
    <w:rsid w:val="008E338D"/>
    <w:rsid w:val="00925921"/>
    <w:rsid w:val="009A275B"/>
    <w:rsid w:val="009A2F3D"/>
    <w:rsid w:val="00AB43AB"/>
    <w:rsid w:val="00AD6109"/>
    <w:rsid w:val="00B12E0B"/>
    <w:rsid w:val="00B979B9"/>
    <w:rsid w:val="00BC1E8A"/>
    <w:rsid w:val="00C138FC"/>
    <w:rsid w:val="00C21F06"/>
    <w:rsid w:val="00C40EB6"/>
    <w:rsid w:val="00C41D0F"/>
    <w:rsid w:val="00C46EE5"/>
    <w:rsid w:val="00C544DC"/>
    <w:rsid w:val="00C84FD8"/>
    <w:rsid w:val="00CA3261"/>
    <w:rsid w:val="00CB0610"/>
    <w:rsid w:val="00CC3FF2"/>
    <w:rsid w:val="00D11EFF"/>
    <w:rsid w:val="00D60321"/>
    <w:rsid w:val="00D65E15"/>
    <w:rsid w:val="00D80184"/>
    <w:rsid w:val="00D903CF"/>
    <w:rsid w:val="00DB3620"/>
    <w:rsid w:val="00E2210A"/>
    <w:rsid w:val="00E2623D"/>
    <w:rsid w:val="00E55C8F"/>
    <w:rsid w:val="00E73214"/>
    <w:rsid w:val="00EB28F2"/>
    <w:rsid w:val="00EF3719"/>
    <w:rsid w:val="00F008AA"/>
    <w:rsid w:val="00F42B16"/>
    <w:rsid w:val="00F44E29"/>
    <w:rsid w:val="00F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32770"/>
  <w15:docId w15:val="{CE12D98B-22BA-46D9-B8D0-713FCAA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3D"/>
    <w:pPr>
      <w:ind w:left="720"/>
      <w:contextualSpacing/>
    </w:pPr>
  </w:style>
  <w:style w:type="table" w:styleId="TableGrid">
    <w:name w:val="Table Grid"/>
    <w:basedOn w:val="TableNormal"/>
    <w:uiPriority w:val="59"/>
    <w:rsid w:val="00D6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2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BD"/>
  </w:style>
  <w:style w:type="paragraph" w:styleId="Footer">
    <w:name w:val="footer"/>
    <w:basedOn w:val="Normal"/>
    <w:link w:val="FooterChar"/>
    <w:uiPriority w:val="99"/>
    <w:unhideWhenUsed/>
    <w:rsid w:val="00633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BD"/>
  </w:style>
  <w:style w:type="character" w:customStyle="1" w:styleId="Heading1Char">
    <w:name w:val="Heading 1 Char"/>
    <w:basedOn w:val="DefaultParagraphFont"/>
    <w:link w:val="Heading1"/>
    <w:uiPriority w:val="9"/>
    <w:rsid w:val="002F70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0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58123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581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581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C3D4C-5C42-9C47-A3A0-133A3208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CSFUser</dc:creator>
  <cp:lastModifiedBy>Microsoft Office User</cp:lastModifiedBy>
  <cp:revision>9</cp:revision>
  <cp:lastPrinted>2016-05-25T15:25:00Z</cp:lastPrinted>
  <dcterms:created xsi:type="dcterms:W3CDTF">2017-02-23T16:53:00Z</dcterms:created>
  <dcterms:modified xsi:type="dcterms:W3CDTF">2018-02-22T19:54:00Z</dcterms:modified>
</cp:coreProperties>
</file>